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5044FF" w14:textId="0152284C" w:rsidR="008001E5" w:rsidRPr="00A06D00" w:rsidRDefault="008001E5" w:rsidP="008001E5">
      <w:pPr>
        <w:jc w:val="right"/>
        <w:rPr>
          <w:i/>
          <w:iCs/>
        </w:rPr>
      </w:pPr>
      <w:r>
        <w:rPr>
          <w:i/>
          <w:iCs/>
        </w:rPr>
        <w:t xml:space="preserve">Version: </w:t>
      </w:r>
      <w:r w:rsidR="00DD3FE0">
        <w:rPr>
          <w:i/>
          <w:iCs/>
        </w:rPr>
        <w:t>April</w:t>
      </w:r>
      <w:r>
        <w:rPr>
          <w:i/>
          <w:iCs/>
        </w:rPr>
        <w:t xml:space="preserve"> 2026 </w:t>
      </w:r>
    </w:p>
    <w:p w14:paraId="42AFAE55" w14:textId="1B685FEA" w:rsidR="005F4057" w:rsidRPr="005F4057" w:rsidRDefault="00A91D19" w:rsidP="005F4057">
      <w:pPr>
        <w:pStyle w:val="Heading1"/>
      </w:pPr>
      <w:r>
        <w:t>Glass News – Style Guide</w:t>
      </w:r>
    </w:p>
    <w:p w14:paraId="7D865D65" w14:textId="52CF8148" w:rsidR="004D4065" w:rsidRDefault="004D4065" w:rsidP="005F4057">
      <w:pPr>
        <w:pBdr>
          <w:bottom w:val="single" w:sz="6" w:space="1" w:color="auto"/>
        </w:pBdr>
      </w:pPr>
      <w:r>
        <w:t>Author Name(s).</w:t>
      </w:r>
    </w:p>
    <w:p w14:paraId="16D29390" w14:textId="44153B07" w:rsidR="00A91D19" w:rsidRDefault="00A91D19" w:rsidP="005F4057">
      <w:pPr>
        <w:pBdr>
          <w:bottom w:val="single" w:sz="6" w:space="1" w:color="auto"/>
        </w:pBdr>
      </w:pPr>
      <w:r>
        <w:t>Institutional Affiliation (if desired).</w:t>
      </w:r>
    </w:p>
    <w:p w14:paraId="3D9B61A0" w14:textId="000CA459" w:rsidR="005F4057" w:rsidRDefault="00A91D19" w:rsidP="002F267B">
      <w:pPr>
        <w:jc w:val="both"/>
      </w:pPr>
      <w:r>
        <w:t xml:space="preserve">To make it easier for authors and editors alike to write for and publish </w:t>
      </w:r>
      <w:r w:rsidRPr="004D4065">
        <w:rPr>
          <w:i/>
          <w:iCs/>
        </w:rPr>
        <w:t>Glass News</w:t>
      </w:r>
      <w:r>
        <w:t xml:space="preserve">, we have prepared this style guide. The guide </w:t>
      </w:r>
      <w:r w:rsidR="006A1348">
        <w:t xml:space="preserve">is laid out in the correct format for submission to </w:t>
      </w:r>
      <w:r w:rsidR="006A1348" w:rsidRPr="004D4065">
        <w:rPr>
          <w:i/>
          <w:iCs/>
        </w:rPr>
        <w:t>Glass News</w:t>
      </w:r>
      <w:r w:rsidR="006A1348">
        <w:t xml:space="preserve"> and </w:t>
      </w:r>
      <w:r w:rsidR="00045CA2">
        <w:t>should</w:t>
      </w:r>
      <w:r w:rsidR="006A1348">
        <w:t xml:space="preserve"> serve</w:t>
      </w:r>
      <w:r>
        <w:t xml:space="preserve"> as a template.</w:t>
      </w:r>
    </w:p>
    <w:p w14:paraId="343679E4" w14:textId="5CFA7BFC" w:rsidR="0016375D" w:rsidRDefault="0012640D" w:rsidP="002F267B">
      <w:pPr>
        <w:pStyle w:val="Heading2"/>
        <w:jc w:val="both"/>
      </w:pPr>
      <w:r>
        <w:t>Font style and size</w:t>
      </w:r>
    </w:p>
    <w:p w14:paraId="268985A3" w14:textId="175AAA2B" w:rsidR="00A20D3C" w:rsidRDefault="0012640D" w:rsidP="002F267B">
      <w:pPr>
        <w:jc w:val="both"/>
      </w:pPr>
      <w:r>
        <w:t>Please use this file as a template</w:t>
      </w:r>
      <w:r w:rsidR="005D143E">
        <w:t>;</w:t>
      </w:r>
      <w:r>
        <w:t xml:space="preserve"> however, font and sizing will be changed by Production Editors after an article is approve</w:t>
      </w:r>
      <w:r w:rsidR="005D143E">
        <w:t>d for publication.</w:t>
      </w:r>
    </w:p>
    <w:p w14:paraId="6817947E" w14:textId="663B06DF" w:rsidR="00A06D00" w:rsidRDefault="006A1348" w:rsidP="002F267B">
      <w:pPr>
        <w:pStyle w:val="Heading2"/>
        <w:jc w:val="both"/>
      </w:pPr>
      <w:r>
        <w:t>Grammar</w:t>
      </w:r>
    </w:p>
    <w:p w14:paraId="2043E792" w14:textId="59173DBC" w:rsidR="00A06D00" w:rsidRPr="006A1348" w:rsidRDefault="006A1348" w:rsidP="002F267B">
      <w:pPr>
        <w:pStyle w:val="ListParagraph"/>
        <w:numPr>
          <w:ilvl w:val="0"/>
          <w:numId w:val="1"/>
        </w:numPr>
        <w:jc w:val="both"/>
        <w:rPr>
          <w:b/>
          <w:bCs/>
        </w:rPr>
      </w:pPr>
      <w:r>
        <w:t>As a preference, papers should be in British English, although papers in American English are welcome (</w:t>
      </w:r>
      <w:proofErr w:type="gramStart"/>
      <w:r>
        <w:t>as long as</w:t>
      </w:r>
      <w:proofErr w:type="gramEnd"/>
      <w:r>
        <w:t xml:space="preserve"> they are internally consistent).</w:t>
      </w:r>
    </w:p>
    <w:p w14:paraId="2EA95D70" w14:textId="0A893870" w:rsidR="006A1348" w:rsidRPr="006A1348" w:rsidRDefault="006A1348" w:rsidP="002F267B">
      <w:pPr>
        <w:pStyle w:val="ListParagraph"/>
        <w:numPr>
          <w:ilvl w:val="0"/>
          <w:numId w:val="1"/>
        </w:numPr>
        <w:jc w:val="both"/>
        <w:rPr>
          <w:b/>
          <w:bCs/>
        </w:rPr>
      </w:pPr>
      <w:r>
        <w:t xml:space="preserve">Authors should use the </w:t>
      </w:r>
      <w:r w:rsidR="00907186">
        <w:t>serialised (or Oxford) comma, e.g., Glass colours included blue-green, amber, and purple.</w:t>
      </w:r>
    </w:p>
    <w:p w14:paraId="623FF4A7" w14:textId="1A54AC85" w:rsidR="00A06D00" w:rsidRDefault="00890100" w:rsidP="002F267B">
      <w:pPr>
        <w:pStyle w:val="Heading2"/>
        <w:jc w:val="both"/>
      </w:pPr>
      <w:r>
        <w:t>Dates</w:t>
      </w:r>
    </w:p>
    <w:p w14:paraId="1F859208" w14:textId="33E9610E" w:rsidR="00A06D00" w:rsidRDefault="00890100" w:rsidP="002F267B">
      <w:pPr>
        <w:jc w:val="both"/>
      </w:pPr>
      <w:r>
        <w:t xml:space="preserve">When discussing ancient material, </w:t>
      </w:r>
      <w:r w:rsidRPr="00890100">
        <w:rPr>
          <w:smallCaps/>
        </w:rPr>
        <w:t>bce</w:t>
      </w:r>
      <w:r>
        <w:t xml:space="preserve"> and </w:t>
      </w:r>
      <w:r w:rsidRPr="00890100">
        <w:rPr>
          <w:smallCaps/>
        </w:rPr>
        <w:t>ce</w:t>
      </w:r>
      <w:r>
        <w:t xml:space="preserve"> should be used instead of </w:t>
      </w:r>
      <w:r w:rsidRPr="00890100">
        <w:rPr>
          <w:smallCaps/>
        </w:rPr>
        <w:t>bc</w:t>
      </w:r>
      <w:r>
        <w:t xml:space="preserve"> and </w:t>
      </w:r>
      <w:r w:rsidRPr="00890100">
        <w:rPr>
          <w:smallCaps/>
        </w:rPr>
        <w:t>ad</w:t>
      </w:r>
      <w:r>
        <w:t xml:space="preserve">. 15 </w:t>
      </w:r>
      <w:r w:rsidRPr="00890100">
        <w:rPr>
          <w:smallCaps/>
        </w:rPr>
        <w:t>bce</w:t>
      </w:r>
      <w:r>
        <w:t xml:space="preserve"> to 15 </w:t>
      </w:r>
      <w:r w:rsidRPr="00890100">
        <w:rPr>
          <w:smallCaps/>
        </w:rPr>
        <w:t>ce</w:t>
      </w:r>
      <w:r>
        <w:t xml:space="preserve">, not 15 </w:t>
      </w:r>
      <w:r w:rsidRPr="00890100">
        <w:rPr>
          <w:smallCaps/>
        </w:rPr>
        <w:t>bc</w:t>
      </w:r>
      <w:r>
        <w:t xml:space="preserve"> to </w:t>
      </w:r>
      <w:r w:rsidRPr="00890100">
        <w:rPr>
          <w:smallCaps/>
        </w:rPr>
        <w:t>ad</w:t>
      </w:r>
      <w:r>
        <w:t xml:space="preserve"> 15. Small caps should be used for this (in Word, you can write lowercase letters and change the text in the Fonts menu to small caps).</w:t>
      </w:r>
    </w:p>
    <w:p w14:paraId="0FCE74CF" w14:textId="7777298E" w:rsidR="001D1E0A" w:rsidRDefault="00504253" w:rsidP="002F267B">
      <w:pPr>
        <w:jc w:val="both"/>
      </w:pPr>
      <w:r>
        <w:t>When describing a century, the shortened suffix should be in superscript (most word processors will do this automatically): 15</w:t>
      </w:r>
      <w:r w:rsidRPr="00504253">
        <w:rPr>
          <w:vertAlign w:val="superscript"/>
        </w:rPr>
        <w:t>th</w:t>
      </w:r>
      <w:r>
        <w:t xml:space="preserve"> and 3</w:t>
      </w:r>
      <w:r w:rsidRPr="00504253">
        <w:rPr>
          <w:vertAlign w:val="superscript"/>
        </w:rPr>
        <w:t>rd</w:t>
      </w:r>
      <w:r w:rsidR="00045CA2">
        <w:t xml:space="preserve"> but not 15th or fifteenth. If this begins a sentence, the number should be spelt out, e.g. Fifteenth-century glass […].</w:t>
      </w:r>
      <w:r w:rsidR="001D1E0A">
        <w:t xml:space="preserve"> </w:t>
      </w:r>
    </w:p>
    <w:p w14:paraId="064CF05B" w14:textId="29661F0C" w:rsidR="001D6CC6" w:rsidRDefault="001D6CC6" w:rsidP="002F267B">
      <w:pPr>
        <w:pStyle w:val="Heading3"/>
        <w:ind w:firstLine="720"/>
        <w:jc w:val="both"/>
      </w:pPr>
      <w:r>
        <w:t>Circa</w:t>
      </w:r>
    </w:p>
    <w:p w14:paraId="233E99A6" w14:textId="3E446656" w:rsidR="001D6CC6" w:rsidRPr="001D6CC6" w:rsidRDefault="001D6CC6" w:rsidP="002F267B">
      <w:pPr>
        <w:ind w:left="720"/>
        <w:jc w:val="both"/>
        <w:rPr>
          <w:i/>
          <w:iCs/>
        </w:rPr>
      </w:pPr>
      <w:r>
        <w:t>Circa (when used to discuss an approximate date or number) should either be given in full in italics (</w:t>
      </w:r>
      <w:r>
        <w:rPr>
          <w:i/>
          <w:iCs/>
        </w:rPr>
        <w:t>circa</w:t>
      </w:r>
      <w:r>
        <w:t xml:space="preserve">) or abbreviated as </w:t>
      </w:r>
      <w:r>
        <w:rPr>
          <w:i/>
          <w:iCs/>
        </w:rPr>
        <w:t>c.</w:t>
      </w:r>
    </w:p>
    <w:p w14:paraId="774EF0CF" w14:textId="585FF9CC" w:rsidR="00A06D00" w:rsidRDefault="0012640D" w:rsidP="002F267B">
      <w:pPr>
        <w:pStyle w:val="Heading2"/>
        <w:jc w:val="both"/>
      </w:pPr>
      <w:r>
        <w:t>Number</w:t>
      </w:r>
      <w:r w:rsidR="001D1E0A">
        <w:t>s</w:t>
      </w:r>
    </w:p>
    <w:p w14:paraId="74B1B1C9" w14:textId="60751495" w:rsidR="001D1E0A" w:rsidRDefault="001D1E0A" w:rsidP="002F267B">
      <w:pPr>
        <w:jc w:val="both"/>
      </w:pPr>
      <w:r>
        <w:t>Numbers between one and ten should be written out; anything higher than 11 can be written in numbers.</w:t>
      </w:r>
    </w:p>
    <w:p w14:paraId="6C259377" w14:textId="74FEF95F" w:rsidR="0012640D" w:rsidRDefault="0012640D" w:rsidP="002F267B">
      <w:pPr>
        <w:jc w:val="both"/>
      </w:pPr>
      <w:r>
        <w:t xml:space="preserve">Any range of numbers (including dates) should have an </w:t>
      </w:r>
      <w:proofErr w:type="spellStart"/>
      <w:r>
        <w:t>en</w:t>
      </w:r>
      <w:proofErr w:type="spellEnd"/>
      <w:r>
        <w:t xml:space="preserve"> dash (</w:t>
      </w:r>
      <w:r w:rsidRPr="0012640D">
        <w:t>–</w:t>
      </w:r>
      <w:r>
        <w:t>) between them, e.g.:</w:t>
      </w:r>
    </w:p>
    <w:p w14:paraId="0655F7DA" w14:textId="17EE06A7" w:rsidR="0012640D" w:rsidRDefault="0012640D" w:rsidP="002F267B">
      <w:pPr>
        <w:pStyle w:val="ListParagraph"/>
        <w:numPr>
          <w:ilvl w:val="0"/>
          <w:numId w:val="2"/>
        </w:numPr>
        <w:jc w:val="both"/>
      </w:pPr>
      <w:r>
        <w:t>1990</w:t>
      </w:r>
      <w:r w:rsidRPr="0012640D">
        <w:t>–</w:t>
      </w:r>
      <w:r>
        <w:t>2000</w:t>
      </w:r>
    </w:p>
    <w:p w14:paraId="12C461CF" w14:textId="408E2FBE" w:rsidR="0012640D" w:rsidRDefault="0012640D" w:rsidP="002F267B">
      <w:pPr>
        <w:pStyle w:val="ListParagraph"/>
        <w:numPr>
          <w:ilvl w:val="0"/>
          <w:numId w:val="2"/>
        </w:numPr>
        <w:jc w:val="both"/>
      </w:pPr>
      <w:r>
        <w:t>54</w:t>
      </w:r>
      <w:r w:rsidRPr="0012640D">
        <w:t>–</w:t>
      </w:r>
      <w:r>
        <w:t>65.</w:t>
      </w:r>
    </w:p>
    <w:p w14:paraId="707C8A2F" w14:textId="71B89D6B" w:rsidR="006C5FB6" w:rsidRDefault="006C5FB6" w:rsidP="002F267B">
      <w:pPr>
        <w:pStyle w:val="ListParagraph"/>
        <w:numPr>
          <w:ilvl w:val="0"/>
          <w:numId w:val="2"/>
        </w:numPr>
        <w:jc w:val="both"/>
      </w:pPr>
      <w:r>
        <w:t>23</w:t>
      </w:r>
      <w:r w:rsidRPr="0012640D">
        <w:t>–</w:t>
      </w:r>
      <w:r>
        <w:t>24</w:t>
      </w:r>
      <w:r w:rsidRPr="006C5FB6">
        <w:rPr>
          <w:vertAlign w:val="superscript"/>
        </w:rPr>
        <w:t>th</w:t>
      </w:r>
      <w:r>
        <w:t xml:space="preserve"> May (n.b. the suffix is not given on the first number in the range).</w:t>
      </w:r>
    </w:p>
    <w:p w14:paraId="14763019" w14:textId="3C278460" w:rsidR="006C5FB6" w:rsidRDefault="006C5FB6" w:rsidP="002F267B">
      <w:pPr>
        <w:pStyle w:val="ListParagraph"/>
        <w:numPr>
          <w:ilvl w:val="0"/>
          <w:numId w:val="2"/>
        </w:numPr>
        <w:jc w:val="both"/>
      </w:pPr>
      <w:r>
        <w:t>13</w:t>
      </w:r>
      <w:r w:rsidRPr="0012640D">
        <w:t>–</w:t>
      </w:r>
      <w:r>
        <w:t>14</w:t>
      </w:r>
      <w:r w:rsidRPr="006C5FB6">
        <w:rPr>
          <w:vertAlign w:val="superscript"/>
        </w:rPr>
        <w:t>th</w:t>
      </w:r>
      <w:r>
        <w:t xml:space="preserve"> centuries.</w:t>
      </w:r>
    </w:p>
    <w:p w14:paraId="54A72179" w14:textId="35160E4A" w:rsidR="0012640D" w:rsidRDefault="0012640D" w:rsidP="002F267B">
      <w:pPr>
        <w:jc w:val="both"/>
      </w:pPr>
      <w:r>
        <w:t xml:space="preserve">Page numbers should be given in full, so </w:t>
      </w:r>
      <w:r w:rsidR="00116BC9">
        <w:t>102 to 108 is 102</w:t>
      </w:r>
      <w:r w:rsidR="00116BC9" w:rsidRPr="00116BC9">
        <w:t>–</w:t>
      </w:r>
      <w:r w:rsidR="00116BC9">
        <w:t>108, not 102</w:t>
      </w:r>
      <w:r w:rsidR="00116BC9" w:rsidRPr="00116BC9">
        <w:t>–</w:t>
      </w:r>
      <w:r w:rsidR="00116BC9">
        <w:t>8.</w:t>
      </w:r>
    </w:p>
    <w:p w14:paraId="5DAF7B34" w14:textId="39F6B6EA" w:rsidR="007C6C4A" w:rsidRDefault="007C6C4A" w:rsidP="007C6C4A">
      <w:pPr>
        <w:pStyle w:val="Heading2"/>
        <w:jc w:val="both"/>
      </w:pPr>
      <w:r>
        <w:lastRenderedPageBreak/>
        <w:t>Quotation Marks</w:t>
      </w:r>
    </w:p>
    <w:p w14:paraId="6D3FD355" w14:textId="48E3F06F" w:rsidR="007C6C4A" w:rsidRPr="0012640D" w:rsidRDefault="007C6C4A" w:rsidP="007C6C4A">
      <w:pPr>
        <w:jc w:val="both"/>
      </w:pPr>
      <w:r>
        <w:t>Direct quotes should use (double) quotation marks (“); inverted commas (‘) should be used for highlighting technical or unusual terms.</w:t>
      </w:r>
    </w:p>
    <w:p w14:paraId="0E75A3E8" w14:textId="0E1844C7" w:rsidR="00A06D00" w:rsidRDefault="006C5FB6" w:rsidP="00A06D00">
      <w:pPr>
        <w:pStyle w:val="Heading2"/>
        <w:jc w:val="both"/>
      </w:pPr>
      <w:r>
        <w:t>Abbreviations</w:t>
      </w:r>
    </w:p>
    <w:p w14:paraId="4126F444" w14:textId="1053F7B9" w:rsidR="00A06D00" w:rsidRDefault="006C5FB6" w:rsidP="00A06D00">
      <w:pPr>
        <w:jc w:val="both"/>
      </w:pPr>
      <w:r>
        <w:t>The first instance of something should be spelt out, with the abbreviation given in parentheses. The Association for the History of Glass (AHG) can thereafter be called the AHG.</w:t>
      </w:r>
    </w:p>
    <w:p w14:paraId="6E22D514" w14:textId="4581A216" w:rsidR="00E36632" w:rsidRDefault="00E36632" w:rsidP="00E36632">
      <w:pPr>
        <w:pStyle w:val="Heading2"/>
        <w:jc w:val="both"/>
      </w:pPr>
      <w:r>
        <w:t>Artwork</w:t>
      </w:r>
      <w:r w:rsidR="004D4065">
        <w:t xml:space="preserve"> and Publication</w:t>
      </w:r>
      <w:r>
        <w:t xml:space="preserve"> Titles</w:t>
      </w:r>
    </w:p>
    <w:p w14:paraId="3E1E786A" w14:textId="27E0336E" w:rsidR="00E36632" w:rsidRDefault="00E36632" w:rsidP="00E36632">
      <w:pPr>
        <w:jc w:val="both"/>
      </w:pPr>
      <w:r>
        <w:t>Whenever the titles or names of works of art</w:t>
      </w:r>
      <w:r w:rsidR="004D4065">
        <w:t>, or publications (e.g. books or journal titles)</w:t>
      </w:r>
      <w:r>
        <w:t xml:space="preserve"> are mentioned, they should be given in title case and italic (e.g. </w:t>
      </w:r>
      <w:r>
        <w:rPr>
          <w:i/>
          <w:iCs/>
        </w:rPr>
        <w:t>The Portland Vase</w:t>
      </w:r>
      <w:r w:rsidR="004D4065">
        <w:rPr>
          <w:i/>
          <w:iCs/>
        </w:rPr>
        <w:t>, Glass News</w:t>
      </w:r>
      <w:r>
        <w:t>).</w:t>
      </w:r>
    </w:p>
    <w:p w14:paraId="15B00404" w14:textId="7C370E65" w:rsidR="004D4065" w:rsidRDefault="004D4065" w:rsidP="004D4065">
      <w:pPr>
        <w:pStyle w:val="Heading2"/>
        <w:jc w:val="both"/>
      </w:pPr>
      <w:r>
        <w:t>Non-English Technical Terms</w:t>
      </w:r>
    </w:p>
    <w:p w14:paraId="3E0C12C6" w14:textId="51705075" w:rsidR="001D6CC6" w:rsidRPr="001D6CC6" w:rsidRDefault="004D4065" w:rsidP="004D4065">
      <w:pPr>
        <w:jc w:val="both"/>
        <w:rPr>
          <w:i/>
          <w:iCs/>
        </w:rPr>
      </w:pPr>
      <w:r>
        <w:t>Non-English technical terms that are not in frequent use in English should be given in Italics (e.g. façon de Venise – but not cliché)</w:t>
      </w:r>
      <w:r>
        <w:rPr>
          <w:i/>
          <w:iCs/>
        </w:rPr>
        <w:t xml:space="preserve">. </w:t>
      </w:r>
    </w:p>
    <w:p w14:paraId="394A44C8" w14:textId="1C5C99E6" w:rsidR="00A06D00" w:rsidRDefault="00652543" w:rsidP="00A06D00">
      <w:pPr>
        <w:pStyle w:val="Heading2"/>
        <w:jc w:val="both"/>
      </w:pPr>
      <w:r>
        <w:t>Illustration Quality</w:t>
      </w:r>
    </w:p>
    <w:p w14:paraId="1B12BF86" w14:textId="1AD92853" w:rsidR="00A06D00" w:rsidRPr="006917A5" w:rsidRDefault="00652543" w:rsidP="00A06D00">
      <w:pPr>
        <w:jc w:val="both"/>
        <w:rPr>
          <w:b/>
          <w:bCs/>
        </w:rPr>
      </w:pPr>
      <w:r>
        <w:t xml:space="preserve">Editors will check the quality of images upon submission. Please ensure the resolution is high enough for any text to be legible. </w:t>
      </w:r>
      <w:r w:rsidR="009F093B">
        <w:t xml:space="preserve">Images can be included in the document, but we would also prefer to have them separately. </w:t>
      </w:r>
      <w:r>
        <w:t>We would recommend sending any images in the highest resolution possible at submission (you may want to use a file transfer service like WeTransfer if you have issues sending larger files).</w:t>
      </w:r>
    </w:p>
    <w:p w14:paraId="2025C23C" w14:textId="568BE78F" w:rsidR="005F4057" w:rsidRDefault="00A91D19" w:rsidP="005F4057">
      <w:pPr>
        <w:pStyle w:val="Heading2"/>
      </w:pPr>
      <w:r>
        <w:t xml:space="preserve">Illustration </w:t>
      </w:r>
      <w:r w:rsidR="005D143E">
        <w:t>Captions</w:t>
      </w:r>
    </w:p>
    <w:p w14:paraId="77E7EE40" w14:textId="24BDBE4A" w:rsidR="00B54A05" w:rsidRDefault="00A91D19" w:rsidP="00A91D19">
      <w:pPr>
        <w:jc w:val="both"/>
      </w:pPr>
      <w:r>
        <w:t xml:space="preserve">These should be done in </w:t>
      </w:r>
      <w:r w:rsidR="00A06D00">
        <w:t xml:space="preserve">the text (placed close to where the item is mentioned – editorial staff may move them) and </w:t>
      </w:r>
      <w:r>
        <w:t xml:space="preserve">numbered in an internally coherent way within your document (editorial staff will ensure the figure numbers match up in the final volume). </w:t>
      </w:r>
      <w:r w:rsidR="00B54A05">
        <w:t>All figures included should be mentioned at least once in the text and labelled like so (Figure 1) or (Figures 1</w:t>
      </w:r>
      <w:r w:rsidR="00B54A05" w:rsidRPr="00B54A05">
        <w:t>–</w:t>
      </w:r>
      <w:r w:rsidR="00B54A05">
        <w:t>2).</w:t>
      </w:r>
    </w:p>
    <w:p w14:paraId="482DDCDB" w14:textId="452BCEA4" w:rsidR="00A91D19" w:rsidRDefault="00A91D19" w:rsidP="00A91D19">
      <w:pPr>
        <w:jc w:val="both"/>
      </w:pPr>
      <w:r>
        <w:t>Illustrations will usually be labelled Figure, but if you want to label something (for example, Table), your first alternative illustration type should be Table 1 (regardless of the preceding Figure number).</w:t>
      </w:r>
      <w:r w:rsidR="00E96DB2">
        <w:t xml:space="preserve"> The illustration type and number should be in bold, and the whole label in Italics:</w:t>
      </w:r>
    </w:p>
    <w:p w14:paraId="534B5FEA" w14:textId="4AD0716E" w:rsidR="00FF544A" w:rsidRPr="00E96DB2" w:rsidRDefault="00A20D3C" w:rsidP="00A91D19">
      <w:pPr>
        <w:jc w:val="both"/>
        <w:rPr>
          <w:b/>
          <w:bCs/>
          <w:i/>
          <w:iCs/>
        </w:rPr>
      </w:pPr>
      <w:r w:rsidRPr="00E96DB2">
        <w:rPr>
          <w:b/>
          <w:bCs/>
          <w:i/>
          <w:iCs/>
        </w:rPr>
        <w:t xml:space="preserve">Figure </w:t>
      </w:r>
      <w:r w:rsidR="00A91D19" w:rsidRPr="00E96DB2">
        <w:rPr>
          <w:b/>
          <w:bCs/>
          <w:i/>
          <w:iCs/>
        </w:rPr>
        <w:t>1</w:t>
      </w:r>
      <w:r w:rsidR="00ED17C7" w:rsidRPr="00E96DB2">
        <w:rPr>
          <w:b/>
          <w:bCs/>
          <w:i/>
          <w:iCs/>
        </w:rPr>
        <w:t>:</w:t>
      </w:r>
      <w:r w:rsidR="00FF544A" w:rsidRPr="00E96DB2">
        <w:rPr>
          <w:b/>
          <w:bCs/>
          <w:i/>
          <w:iCs/>
        </w:rPr>
        <w:t xml:space="preserve"> </w:t>
      </w:r>
      <w:r w:rsidR="00A91D19" w:rsidRPr="00E96DB2">
        <w:rPr>
          <w:i/>
          <w:iCs/>
        </w:rPr>
        <w:t>Plain language item description</w:t>
      </w:r>
      <w:r w:rsidR="00FF544A" w:rsidRPr="00E96DB2">
        <w:rPr>
          <w:i/>
          <w:iCs/>
        </w:rPr>
        <w:t xml:space="preserve">. </w:t>
      </w:r>
      <w:r w:rsidR="00A91D19" w:rsidRPr="00E96DB2">
        <w:rPr>
          <w:i/>
          <w:iCs/>
        </w:rPr>
        <w:t>Location, museum (if appropriate), accession numbers</w:t>
      </w:r>
      <w:r w:rsidR="00FF544A" w:rsidRPr="00E96DB2">
        <w:rPr>
          <w:i/>
          <w:iCs/>
        </w:rPr>
        <w:t xml:space="preserve"> (Photo: </w:t>
      </w:r>
      <w:r w:rsidR="00A06D00" w:rsidRPr="00E96DB2">
        <w:rPr>
          <w:i/>
          <w:iCs/>
        </w:rPr>
        <w:t>P. Photographer ©, March 2026</w:t>
      </w:r>
      <w:r w:rsidR="00FF544A" w:rsidRPr="00E96DB2">
        <w:rPr>
          <w:i/>
          <w:iCs/>
        </w:rPr>
        <w:t>).</w:t>
      </w:r>
    </w:p>
    <w:p w14:paraId="01C5A7B1" w14:textId="5E8A571B" w:rsidR="00A06D00" w:rsidRDefault="00A06D00" w:rsidP="00A20D3C">
      <w:pPr>
        <w:jc w:val="both"/>
      </w:pPr>
      <w:r>
        <w:t>Please give the source of an image if known</w:t>
      </w:r>
      <w:r w:rsidR="006C5FB6">
        <w:t>, as well as when the image was taken or made</w:t>
      </w:r>
      <w:r>
        <w:t>.</w:t>
      </w:r>
      <w:r w:rsidR="007C6C4A">
        <w:t xml:space="preserve"> The image credit should be given in parentheses after the caption, followed by a full stop.</w:t>
      </w:r>
      <w:r>
        <w:t xml:space="preserve"> If submitted as part of a </w:t>
      </w:r>
      <w:r>
        <w:rPr>
          <w:i/>
          <w:iCs/>
        </w:rPr>
        <w:t xml:space="preserve">Glass News </w:t>
      </w:r>
      <w:r>
        <w:t xml:space="preserve">submission, it will be assumed that contributors have permission to publish any images in </w:t>
      </w:r>
      <w:r>
        <w:rPr>
          <w:i/>
          <w:iCs/>
        </w:rPr>
        <w:t>Glass News</w:t>
      </w:r>
      <w:r>
        <w:t>.  Please give any copyright information (if appropriate)</w:t>
      </w:r>
      <w:r w:rsidR="006C5FB6">
        <w:t xml:space="preserve"> – including </w:t>
      </w:r>
      <w:hyperlink r:id="rId7" w:history="1">
        <w:r w:rsidR="00045CA2" w:rsidRPr="00045CA2">
          <w:rPr>
            <w:rStyle w:val="Hyperlink"/>
          </w:rPr>
          <w:t>Creative Commons (</w:t>
        </w:r>
        <w:r w:rsidR="006C5FB6" w:rsidRPr="00045CA2">
          <w:rPr>
            <w:rStyle w:val="Hyperlink"/>
          </w:rPr>
          <w:t>CC</w:t>
        </w:r>
        <w:r w:rsidR="00045CA2" w:rsidRPr="00045CA2">
          <w:rPr>
            <w:rStyle w:val="Hyperlink"/>
          </w:rPr>
          <w:t>)</w:t>
        </w:r>
        <w:r w:rsidR="006C5FB6" w:rsidRPr="00045CA2">
          <w:rPr>
            <w:rStyle w:val="Hyperlink"/>
          </w:rPr>
          <w:t xml:space="preserve"> licensing</w:t>
        </w:r>
      </w:hyperlink>
      <w:r w:rsidR="006C5FB6">
        <w:t>.</w:t>
      </w:r>
    </w:p>
    <w:p w14:paraId="36974852" w14:textId="368DBC7F" w:rsidR="006C5FB6" w:rsidRPr="00A06D00" w:rsidRDefault="006C5FB6" w:rsidP="00A20D3C">
      <w:pPr>
        <w:jc w:val="both"/>
      </w:pPr>
      <w:r>
        <w:t>Ideally</w:t>
      </w:r>
      <w:r w:rsidR="009F093B">
        <w:t>,</w:t>
      </w:r>
      <w:r>
        <w:t xml:space="preserve"> an archaeological item will have a</w:t>
      </w:r>
      <w:r w:rsidR="009F093B">
        <w:t xml:space="preserve"> photo</w:t>
      </w:r>
      <w:r>
        <w:t xml:space="preserve"> scale, but if your image does not have one</w:t>
      </w:r>
      <w:r w:rsidR="009F093B">
        <w:t>,</w:t>
      </w:r>
      <w:r>
        <w:t xml:space="preserve"> please </w:t>
      </w:r>
      <w:r w:rsidR="009F093B">
        <w:t>provide rough dimensions in the image caption so readers will know how big the object is.</w:t>
      </w:r>
    </w:p>
    <w:p w14:paraId="56172867" w14:textId="1569D70D" w:rsidR="00A20D3C" w:rsidRPr="00FF544A" w:rsidRDefault="00FF544A" w:rsidP="002F267B">
      <w:pPr>
        <w:pStyle w:val="Heading2"/>
        <w:jc w:val="both"/>
        <w:rPr>
          <w:b/>
          <w:bCs/>
        </w:rPr>
      </w:pPr>
      <w:r>
        <w:lastRenderedPageBreak/>
        <w:t>Acknowledgements</w:t>
      </w:r>
    </w:p>
    <w:p w14:paraId="14A21C88" w14:textId="30DFC9F1" w:rsidR="00FF544A" w:rsidRDefault="00A91D19" w:rsidP="002F267B">
      <w:pPr>
        <w:jc w:val="both"/>
      </w:pPr>
      <w:r>
        <w:t>Please keep these relatively concise, but feel free to mention anyone pertinent to the project or event mentioned in the article.</w:t>
      </w:r>
    </w:p>
    <w:p w14:paraId="12E5DD03" w14:textId="496CA0DB" w:rsidR="0012640D" w:rsidRDefault="0012640D" w:rsidP="002F267B">
      <w:pPr>
        <w:pStyle w:val="Heading2"/>
        <w:jc w:val="both"/>
      </w:pPr>
      <w:r>
        <w:t>Citation Style</w:t>
      </w:r>
    </w:p>
    <w:p w14:paraId="350EDC18" w14:textId="41239C03" w:rsidR="0012640D" w:rsidRPr="006C5FB6" w:rsidRDefault="00783B3B" w:rsidP="002F267B">
      <w:pPr>
        <w:jc w:val="both"/>
        <w:rPr>
          <w:b/>
          <w:bCs/>
        </w:rPr>
      </w:pPr>
      <w:r>
        <w:t xml:space="preserve">Citations are in-text only and follow the following format: </w:t>
      </w:r>
      <w:r w:rsidRPr="00783B3B">
        <w:t>(</w:t>
      </w:r>
      <w:r w:rsidR="008C47FF">
        <w:t>Henderson</w:t>
      </w:r>
      <w:r w:rsidRPr="00783B3B">
        <w:t xml:space="preserve"> </w:t>
      </w:r>
      <w:r w:rsidR="008C47FF">
        <w:t>2013</w:t>
      </w:r>
      <w:r w:rsidRPr="00783B3B">
        <w:t>: 80</w:t>
      </w:r>
      <w:r w:rsidRPr="00116BC9">
        <w:t>–</w:t>
      </w:r>
      <w:r>
        <w:t>8</w:t>
      </w:r>
      <w:r w:rsidRPr="00783B3B">
        <w:t xml:space="preserve">1). </w:t>
      </w:r>
      <w:r>
        <w:t>If three or more authors are given: (</w:t>
      </w:r>
      <w:r w:rsidRPr="00783B3B">
        <w:t xml:space="preserve">Kunicki-Goldfinger, et al. 2024). </w:t>
      </w:r>
      <w:r w:rsidR="00DC5B22">
        <w:t xml:space="preserve">If multiple citations are being made in one set of parentheses, these should be in </w:t>
      </w:r>
      <w:r w:rsidR="00A23432">
        <w:t xml:space="preserve">chronological order: </w:t>
      </w:r>
      <w:r w:rsidR="00A23432" w:rsidRPr="00A23432">
        <w:t>(</w:t>
      </w:r>
      <w:proofErr w:type="spellStart"/>
      <w:r w:rsidR="00A23432" w:rsidRPr="00A23432">
        <w:t>Birkhenhagen</w:t>
      </w:r>
      <w:proofErr w:type="spellEnd"/>
      <w:r w:rsidR="00A23432" w:rsidRPr="00A23432">
        <w:t xml:space="preserve"> &amp; </w:t>
      </w:r>
      <w:proofErr w:type="spellStart"/>
      <w:r w:rsidR="00A23432" w:rsidRPr="00A23432">
        <w:t>Weisenberg</w:t>
      </w:r>
      <w:proofErr w:type="spellEnd"/>
      <w:r w:rsidR="00A23432" w:rsidRPr="00A23432">
        <w:t xml:space="preserve"> 2016; Birkenhagen 2017</w:t>
      </w:r>
      <w:r w:rsidR="005D143E" w:rsidRPr="00A23432">
        <w:t>).</w:t>
      </w:r>
      <w:r w:rsidR="005D143E">
        <w:t xml:space="preserve"> Citations in illustration captions should be in the same format.</w:t>
      </w:r>
    </w:p>
    <w:p w14:paraId="50E5F867" w14:textId="793C4AE3" w:rsidR="0062475E" w:rsidRDefault="0062475E" w:rsidP="002F267B">
      <w:pPr>
        <w:pStyle w:val="Heading2"/>
        <w:jc w:val="both"/>
      </w:pPr>
      <w:r>
        <w:t>References</w:t>
      </w:r>
    </w:p>
    <w:p w14:paraId="4FBB3E98" w14:textId="3993014B" w:rsidR="00783B3B" w:rsidRDefault="00A91D19" w:rsidP="002F267B">
      <w:pPr>
        <w:jc w:val="both"/>
      </w:pPr>
      <w:r>
        <w:t>References should be in their own section after any acknowledgements.</w:t>
      </w:r>
      <w:r w:rsidR="00783B3B">
        <w:t xml:space="preserve"> Even if an in-text citation has three or more authors and is thus stylised ‘et al.’</w:t>
      </w:r>
      <w:r w:rsidR="00045CA2">
        <w:t>,</w:t>
      </w:r>
      <w:r w:rsidR="00783B3B">
        <w:t xml:space="preserve"> all authors should be included in the References section.</w:t>
      </w:r>
      <w:r w:rsidR="005D143E">
        <w:t xml:space="preserve"> The capitalisation in the reference should match the original publication.</w:t>
      </w:r>
      <w:r w:rsidR="004D4065">
        <w:t xml:space="preserve"> If this is not known (for example, if the book title is in full capital letters), then use title case. For non-English publications, please follow the usual conventions in that language.</w:t>
      </w:r>
    </w:p>
    <w:p w14:paraId="64088F55" w14:textId="563F26AA" w:rsidR="00805EC0" w:rsidRDefault="00A91D19" w:rsidP="002F267B">
      <w:pPr>
        <w:jc w:val="both"/>
      </w:pPr>
      <w:r>
        <w:t xml:space="preserve"> Some examples can be found below:</w:t>
      </w:r>
    </w:p>
    <w:p w14:paraId="6E49F711" w14:textId="38772AE6" w:rsidR="00A23432" w:rsidRDefault="00A23432" w:rsidP="002F267B">
      <w:pPr>
        <w:jc w:val="both"/>
      </w:pPr>
      <w:r w:rsidRPr="00A23432">
        <w:t xml:space="preserve">Birkenhagen, B. and Wiesenberg, F. (2016) </w:t>
      </w:r>
      <w:proofErr w:type="spellStart"/>
      <w:r w:rsidRPr="00A23432">
        <w:rPr>
          <w:i/>
          <w:iCs/>
        </w:rPr>
        <w:t>Experimentelle</w:t>
      </w:r>
      <w:proofErr w:type="spellEnd"/>
      <w:r w:rsidRPr="00A23432">
        <w:rPr>
          <w:i/>
          <w:iCs/>
        </w:rPr>
        <w:t xml:space="preserve"> </w:t>
      </w:r>
      <w:proofErr w:type="spellStart"/>
      <w:r w:rsidRPr="00A23432">
        <w:rPr>
          <w:i/>
          <w:iCs/>
        </w:rPr>
        <w:t>Archäologie</w:t>
      </w:r>
      <w:proofErr w:type="spellEnd"/>
      <w:r w:rsidRPr="00A23432">
        <w:rPr>
          <w:i/>
          <w:iCs/>
        </w:rPr>
        <w:t xml:space="preserve">: </w:t>
      </w:r>
      <w:proofErr w:type="spellStart"/>
      <w:r w:rsidRPr="00A23432">
        <w:rPr>
          <w:i/>
          <w:iCs/>
        </w:rPr>
        <w:t>Studien</w:t>
      </w:r>
      <w:proofErr w:type="spellEnd"/>
      <w:r w:rsidRPr="00A23432">
        <w:rPr>
          <w:i/>
          <w:iCs/>
        </w:rPr>
        <w:t xml:space="preserve"> </w:t>
      </w:r>
      <w:proofErr w:type="spellStart"/>
      <w:r w:rsidRPr="00A23432">
        <w:rPr>
          <w:i/>
          <w:iCs/>
        </w:rPr>
        <w:t>zur</w:t>
      </w:r>
      <w:proofErr w:type="spellEnd"/>
      <w:r w:rsidRPr="00A23432">
        <w:rPr>
          <w:i/>
          <w:iCs/>
        </w:rPr>
        <w:t xml:space="preserve"> </w:t>
      </w:r>
      <w:proofErr w:type="spellStart"/>
      <w:r w:rsidRPr="00A23432">
        <w:rPr>
          <w:i/>
          <w:iCs/>
        </w:rPr>
        <w:t>römischen</w:t>
      </w:r>
      <w:proofErr w:type="spellEnd"/>
      <w:r w:rsidRPr="00A23432">
        <w:rPr>
          <w:i/>
          <w:iCs/>
        </w:rPr>
        <w:t xml:space="preserve"> </w:t>
      </w:r>
      <w:proofErr w:type="spellStart"/>
      <w:r w:rsidRPr="00A23432">
        <w:rPr>
          <w:i/>
          <w:iCs/>
        </w:rPr>
        <w:t>Glastechnik</w:t>
      </w:r>
      <w:proofErr w:type="spellEnd"/>
      <w:r w:rsidRPr="00A23432">
        <w:rPr>
          <w:i/>
          <w:iCs/>
        </w:rPr>
        <w:t xml:space="preserve"> 1. </w:t>
      </w:r>
      <w:proofErr w:type="spellStart"/>
      <w:r w:rsidRPr="00A23432">
        <w:rPr>
          <w:i/>
          <w:iCs/>
        </w:rPr>
        <w:t>Mit</w:t>
      </w:r>
      <w:proofErr w:type="spellEnd"/>
      <w:r w:rsidRPr="00A23432">
        <w:rPr>
          <w:i/>
          <w:iCs/>
        </w:rPr>
        <w:t xml:space="preserve"> </w:t>
      </w:r>
      <w:proofErr w:type="spellStart"/>
      <w:r w:rsidRPr="00A23432">
        <w:rPr>
          <w:i/>
          <w:iCs/>
        </w:rPr>
        <w:t>Beiträgen</w:t>
      </w:r>
      <w:proofErr w:type="spellEnd"/>
      <w:r w:rsidRPr="00A23432">
        <w:rPr>
          <w:i/>
          <w:iCs/>
        </w:rPr>
        <w:t xml:space="preserve"> von David Hill und Mark Taylor</w:t>
      </w:r>
      <w:r w:rsidRPr="00A23432">
        <w:t xml:space="preserve">. </w:t>
      </w:r>
      <w:proofErr w:type="spellStart"/>
      <w:r w:rsidRPr="00A23432">
        <w:t>Schriften</w:t>
      </w:r>
      <w:proofErr w:type="spellEnd"/>
      <w:r w:rsidRPr="00A23432">
        <w:t xml:space="preserve"> des </w:t>
      </w:r>
      <w:proofErr w:type="spellStart"/>
      <w:r w:rsidRPr="00A23432">
        <w:t>Archäologieparks</w:t>
      </w:r>
      <w:proofErr w:type="spellEnd"/>
      <w:r w:rsidRPr="00A23432">
        <w:t xml:space="preserve"> </w:t>
      </w:r>
      <w:proofErr w:type="spellStart"/>
      <w:r w:rsidRPr="00A23432">
        <w:t>Römische</w:t>
      </w:r>
      <w:proofErr w:type="spellEnd"/>
      <w:r w:rsidRPr="00A23432">
        <w:t xml:space="preserve"> Villa Borg 7, </w:t>
      </w:r>
      <w:proofErr w:type="spellStart"/>
      <w:r w:rsidRPr="00A23432">
        <w:t>Archäologiepark</w:t>
      </w:r>
      <w:proofErr w:type="spellEnd"/>
      <w:r w:rsidRPr="00A23432">
        <w:t xml:space="preserve"> Villa Borg, </w:t>
      </w:r>
      <w:proofErr w:type="spellStart"/>
      <w:r w:rsidRPr="00A23432">
        <w:t>Merzig</w:t>
      </w:r>
      <w:proofErr w:type="spellEnd"/>
      <w:r w:rsidRPr="00A23432">
        <w:t>.</w:t>
      </w:r>
    </w:p>
    <w:p w14:paraId="6367615A" w14:textId="7AFEEF37" w:rsidR="008C47FF" w:rsidRDefault="008C47FF" w:rsidP="002F267B">
      <w:pPr>
        <w:jc w:val="both"/>
      </w:pPr>
      <w:r>
        <w:t>Henderson, J. (2013)</w:t>
      </w:r>
      <w:r w:rsidRPr="00805EC0">
        <w:t xml:space="preserve"> </w:t>
      </w:r>
      <w:r w:rsidRPr="008C47FF">
        <w:rPr>
          <w:i/>
          <w:iCs/>
        </w:rPr>
        <w:t>Ancient Glass – An Interdisciplinary Exploration</w:t>
      </w:r>
      <w:r>
        <w:t>. Cambridge, Cambridge</w:t>
      </w:r>
      <w:r w:rsidRPr="00805EC0">
        <w:t xml:space="preserve"> University Press</w:t>
      </w:r>
      <w:r>
        <w:t>.</w:t>
      </w:r>
    </w:p>
    <w:p w14:paraId="02E83460" w14:textId="3FA4ABD0" w:rsidR="00A23432" w:rsidRDefault="00A23432" w:rsidP="002F267B">
      <w:pPr>
        <w:jc w:val="both"/>
      </w:pPr>
      <w:proofErr w:type="spellStart"/>
      <w:r w:rsidRPr="00A23432">
        <w:t>Höpken</w:t>
      </w:r>
      <w:proofErr w:type="spellEnd"/>
      <w:r w:rsidRPr="00A23432">
        <w:t xml:space="preserve">, C., Birkenhagen, B., and </w:t>
      </w:r>
      <w:proofErr w:type="spellStart"/>
      <w:r w:rsidRPr="00A23432">
        <w:t>Brüggler</w:t>
      </w:r>
      <w:proofErr w:type="spellEnd"/>
      <w:r w:rsidRPr="00A23432">
        <w:t xml:space="preserve">, M. (eds). (2021) </w:t>
      </w:r>
      <w:proofErr w:type="spellStart"/>
      <w:r w:rsidRPr="001D6CC6">
        <w:rPr>
          <w:i/>
          <w:iCs/>
        </w:rPr>
        <w:t>Römische</w:t>
      </w:r>
      <w:proofErr w:type="spellEnd"/>
      <w:r w:rsidRPr="001D6CC6">
        <w:rPr>
          <w:i/>
          <w:iCs/>
        </w:rPr>
        <w:t xml:space="preserve"> </w:t>
      </w:r>
      <w:proofErr w:type="spellStart"/>
      <w:r w:rsidRPr="001D6CC6">
        <w:rPr>
          <w:i/>
          <w:iCs/>
        </w:rPr>
        <w:t>Glasöfen</w:t>
      </w:r>
      <w:proofErr w:type="spellEnd"/>
      <w:r w:rsidRPr="001D6CC6">
        <w:rPr>
          <w:i/>
          <w:iCs/>
        </w:rPr>
        <w:t xml:space="preserve">. </w:t>
      </w:r>
      <w:proofErr w:type="spellStart"/>
      <w:r w:rsidRPr="001D6CC6">
        <w:rPr>
          <w:i/>
          <w:iCs/>
        </w:rPr>
        <w:t>Befunde</w:t>
      </w:r>
      <w:proofErr w:type="spellEnd"/>
      <w:r w:rsidRPr="001D6CC6">
        <w:rPr>
          <w:i/>
          <w:iCs/>
        </w:rPr>
        <w:t xml:space="preserve">, </w:t>
      </w:r>
      <w:proofErr w:type="spellStart"/>
      <w:r w:rsidRPr="001D6CC6">
        <w:rPr>
          <w:i/>
          <w:iCs/>
        </w:rPr>
        <w:t>Funde</w:t>
      </w:r>
      <w:proofErr w:type="spellEnd"/>
      <w:r w:rsidRPr="001D6CC6">
        <w:rPr>
          <w:i/>
          <w:iCs/>
        </w:rPr>
        <w:t xml:space="preserve"> und </w:t>
      </w:r>
      <w:proofErr w:type="spellStart"/>
      <w:r w:rsidRPr="001D6CC6">
        <w:rPr>
          <w:i/>
          <w:iCs/>
        </w:rPr>
        <w:t>Rekonstruktionen</w:t>
      </w:r>
      <w:proofErr w:type="spellEnd"/>
      <w:r w:rsidRPr="001D6CC6">
        <w:rPr>
          <w:i/>
          <w:iCs/>
        </w:rPr>
        <w:t xml:space="preserve"> in </w:t>
      </w:r>
      <w:proofErr w:type="spellStart"/>
      <w:r w:rsidRPr="001D6CC6">
        <w:rPr>
          <w:i/>
          <w:iCs/>
        </w:rPr>
        <w:t>Synthese</w:t>
      </w:r>
      <w:proofErr w:type="spellEnd"/>
      <w:r w:rsidRPr="001D6CC6">
        <w:rPr>
          <w:i/>
          <w:iCs/>
        </w:rPr>
        <w:t xml:space="preserve"> – Roman glass furnaces. Contexts, finds and reconstructions in synthesis. </w:t>
      </w:r>
      <w:proofErr w:type="spellStart"/>
      <w:r w:rsidRPr="001D6CC6">
        <w:rPr>
          <w:i/>
          <w:iCs/>
        </w:rPr>
        <w:t>Tagung</w:t>
      </w:r>
      <w:proofErr w:type="spellEnd"/>
      <w:r w:rsidRPr="001D6CC6">
        <w:rPr>
          <w:i/>
          <w:iCs/>
        </w:rPr>
        <w:t xml:space="preserve"> am 11. und 12.6.2016 </w:t>
      </w:r>
      <w:proofErr w:type="spellStart"/>
      <w:r w:rsidRPr="001D6CC6">
        <w:rPr>
          <w:i/>
          <w:iCs/>
        </w:rPr>
        <w:t>im</w:t>
      </w:r>
      <w:proofErr w:type="spellEnd"/>
      <w:r w:rsidRPr="001D6CC6">
        <w:rPr>
          <w:i/>
          <w:iCs/>
        </w:rPr>
        <w:t xml:space="preserve"> </w:t>
      </w:r>
      <w:proofErr w:type="spellStart"/>
      <w:r w:rsidRPr="001D6CC6">
        <w:rPr>
          <w:i/>
          <w:iCs/>
        </w:rPr>
        <w:t>Archäologiepark</w:t>
      </w:r>
      <w:proofErr w:type="spellEnd"/>
      <w:r w:rsidRPr="001D6CC6">
        <w:rPr>
          <w:i/>
          <w:iCs/>
        </w:rPr>
        <w:t xml:space="preserve"> </w:t>
      </w:r>
      <w:proofErr w:type="spellStart"/>
      <w:r w:rsidRPr="001D6CC6">
        <w:rPr>
          <w:i/>
          <w:iCs/>
        </w:rPr>
        <w:t>Römische</w:t>
      </w:r>
      <w:proofErr w:type="spellEnd"/>
      <w:r w:rsidRPr="001D6CC6">
        <w:rPr>
          <w:i/>
          <w:iCs/>
        </w:rPr>
        <w:t xml:space="preserve"> Villa Borg</w:t>
      </w:r>
      <w:r w:rsidRPr="00A23432">
        <w:t xml:space="preserve">. </w:t>
      </w:r>
      <w:proofErr w:type="spellStart"/>
      <w:r w:rsidRPr="00A23432">
        <w:t>Denkmalpflege</w:t>
      </w:r>
      <w:proofErr w:type="spellEnd"/>
      <w:r w:rsidRPr="00A23432">
        <w:t xml:space="preserve"> </w:t>
      </w:r>
      <w:proofErr w:type="spellStart"/>
      <w:r w:rsidRPr="00A23432">
        <w:t>im</w:t>
      </w:r>
      <w:proofErr w:type="spellEnd"/>
      <w:r w:rsidRPr="00A23432">
        <w:t xml:space="preserve"> Saarland 11, </w:t>
      </w:r>
      <w:proofErr w:type="spellStart"/>
      <w:r w:rsidRPr="00A23432">
        <w:t>Landesdenkmalamt</w:t>
      </w:r>
      <w:proofErr w:type="spellEnd"/>
      <w:r w:rsidRPr="00A23432">
        <w:t xml:space="preserve"> Saarland, </w:t>
      </w:r>
      <w:proofErr w:type="spellStart"/>
      <w:r w:rsidRPr="00A23432">
        <w:t>Schiffweiler</w:t>
      </w:r>
      <w:proofErr w:type="spellEnd"/>
      <w:r w:rsidRPr="00A23432">
        <w:t>.</w:t>
      </w:r>
    </w:p>
    <w:p w14:paraId="038DD85D" w14:textId="79B085BC" w:rsidR="00801EDC" w:rsidRPr="00801EDC" w:rsidRDefault="00783B3B" w:rsidP="002F267B">
      <w:pPr>
        <w:jc w:val="both"/>
      </w:pPr>
      <w:r w:rsidRPr="00783B3B">
        <w:t xml:space="preserve">Kunicki-Goldfinger, J., Hulst, M., and Freestone, I.C. (2024) Seventeenth-century </w:t>
      </w:r>
      <w:r w:rsidR="001D6CC6" w:rsidRPr="001D6CC6">
        <w:rPr>
          <w:i/>
          <w:iCs/>
        </w:rPr>
        <w:t>F</w:t>
      </w:r>
      <w:r w:rsidRPr="001D6CC6">
        <w:rPr>
          <w:i/>
          <w:iCs/>
        </w:rPr>
        <w:t>açon de Venise</w:t>
      </w:r>
      <w:r w:rsidRPr="00783B3B">
        <w:t xml:space="preserve"> </w:t>
      </w:r>
      <w:r w:rsidR="001D6CC6">
        <w:t>G</w:t>
      </w:r>
      <w:r w:rsidRPr="00783B3B">
        <w:t xml:space="preserve">lass from De Twee Rozen </w:t>
      </w:r>
      <w:r w:rsidR="001D6CC6">
        <w:t>G</w:t>
      </w:r>
      <w:r w:rsidRPr="00783B3B">
        <w:t xml:space="preserve">lasshouse, Amsterdam: Technology out of Step with Fashion? </w:t>
      </w:r>
      <w:r w:rsidRPr="00783B3B">
        <w:rPr>
          <w:i/>
          <w:iCs/>
        </w:rPr>
        <w:t xml:space="preserve">Journal of Glass Studies </w:t>
      </w:r>
      <w:r w:rsidRPr="00783B3B">
        <w:t xml:space="preserve">66: 131–158. </w:t>
      </w:r>
    </w:p>
    <w:sectPr w:rsidR="00801EDC" w:rsidRPr="00801E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702236" w14:textId="77777777" w:rsidR="00932A98" w:rsidRDefault="00932A98" w:rsidP="00494EF0">
      <w:pPr>
        <w:spacing w:after="0" w:line="240" w:lineRule="auto"/>
      </w:pPr>
      <w:r>
        <w:separator/>
      </w:r>
    </w:p>
  </w:endnote>
  <w:endnote w:type="continuationSeparator" w:id="0">
    <w:p w14:paraId="3EDBE4C2" w14:textId="77777777" w:rsidR="00932A98" w:rsidRDefault="00932A98" w:rsidP="00494E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2A449F" w14:textId="77777777" w:rsidR="00932A98" w:rsidRDefault="00932A98" w:rsidP="00494EF0">
      <w:pPr>
        <w:spacing w:after="0" w:line="240" w:lineRule="auto"/>
      </w:pPr>
      <w:r>
        <w:separator/>
      </w:r>
    </w:p>
  </w:footnote>
  <w:footnote w:type="continuationSeparator" w:id="0">
    <w:p w14:paraId="72005AA7" w14:textId="77777777" w:rsidR="00932A98" w:rsidRDefault="00932A98" w:rsidP="00494E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0C38B3"/>
    <w:multiLevelType w:val="hybridMultilevel"/>
    <w:tmpl w:val="E32CBE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D75B6F"/>
    <w:multiLevelType w:val="hybridMultilevel"/>
    <w:tmpl w:val="FBCE9C4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4057488">
    <w:abstractNumId w:val="1"/>
  </w:num>
  <w:num w:numId="2" w16cid:durableId="4619641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057"/>
    <w:rsid w:val="00015438"/>
    <w:rsid w:val="00041A6D"/>
    <w:rsid w:val="00045CA2"/>
    <w:rsid w:val="000D0753"/>
    <w:rsid w:val="000D1385"/>
    <w:rsid w:val="000F59E4"/>
    <w:rsid w:val="00116BC9"/>
    <w:rsid w:val="0012640D"/>
    <w:rsid w:val="0016375D"/>
    <w:rsid w:val="001D1E0A"/>
    <w:rsid w:val="001D6CC6"/>
    <w:rsid w:val="002255D4"/>
    <w:rsid w:val="00233611"/>
    <w:rsid w:val="00257975"/>
    <w:rsid w:val="002963A1"/>
    <w:rsid w:val="002B4444"/>
    <w:rsid w:val="002E2254"/>
    <w:rsid w:val="002F0892"/>
    <w:rsid w:val="002F267B"/>
    <w:rsid w:val="00361FFD"/>
    <w:rsid w:val="00366062"/>
    <w:rsid w:val="003A42D1"/>
    <w:rsid w:val="003E55D7"/>
    <w:rsid w:val="0042672F"/>
    <w:rsid w:val="00482418"/>
    <w:rsid w:val="00494EF0"/>
    <w:rsid w:val="004C337E"/>
    <w:rsid w:val="004C6F85"/>
    <w:rsid w:val="004D4027"/>
    <w:rsid w:val="004D4065"/>
    <w:rsid w:val="00504253"/>
    <w:rsid w:val="0053447B"/>
    <w:rsid w:val="00551A05"/>
    <w:rsid w:val="005D143E"/>
    <w:rsid w:val="005F346D"/>
    <w:rsid w:val="005F4057"/>
    <w:rsid w:val="00615DE0"/>
    <w:rsid w:val="006242E0"/>
    <w:rsid w:val="0062475E"/>
    <w:rsid w:val="0064103A"/>
    <w:rsid w:val="00652543"/>
    <w:rsid w:val="006917A5"/>
    <w:rsid w:val="006A1348"/>
    <w:rsid w:val="006A5389"/>
    <w:rsid w:val="006C080A"/>
    <w:rsid w:val="006C5FB6"/>
    <w:rsid w:val="007117DD"/>
    <w:rsid w:val="00714C3E"/>
    <w:rsid w:val="00783B3B"/>
    <w:rsid w:val="007C6C4A"/>
    <w:rsid w:val="007F2F2E"/>
    <w:rsid w:val="008001E5"/>
    <w:rsid w:val="0080031F"/>
    <w:rsid w:val="00801EDC"/>
    <w:rsid w:val="00805EC0"/>
    <w:rsid w:val="0081093E"/>
    <w:rsid w:val="008542C9"/>
    <w:rsid w:val="00890100"/>
    <w:rsid w:val="008C47FF"/>
    <w:rsid w:val="008E2939"/>
    <w:rsid w:val="009064CB"/>
    <w:rsid w:val="00907186"/>
    <w:rsid w:val="00932A98"/>
    <w:rsid w:val="0095177F"/>
    <w:rsid w:val="009B0FE4"/>
    <w:rsid w:val="009E1A2B"/>
    <w:rsid w:val="009F093B"/>
    <w:rsid w:val="00A06D00"/>
    <w:rsid w:val="00A20D3C"/>
    <w:rsid w:val="00A23432"/>
    <w:rsid w:val="00A51804"/>
    <w:rsid w:val="00A66D10"/>
    <w:rsid w:val="00A860AF"/>
    <w:rsid w:val="00A91D19"/>
    <w:rsid w:val="00AF3C8D"/>
    <w:rsid w:val="00B16672"/>
    <w:rsid w:val="00B54A05"/>
    <w:rsid w:val="00BB2FB3"/>
    <w:rsid w:val="00BB5AFD"/>
    <w:rsid w:val="00BD3F73"/>
    <w:rsid w:val="00C00A62"/>
    <w:rsid w:val="00C57338"/>
    <w:rsid w:val="00CB3584"/>
    <w:rsid w:val="00D14DE2"/>
    <w:rsid w:val="00D265B5"/>
    <w:rsid w:val="00D30729"/>
    <w:rsid w:val="00D54A12"/>
    <w:rsid w:val="00D55BB5"/>
    <w:rsid w:val="00DC5B22"/>
    <w:rsid w:val="00DD3FE0"/>
    <w:rsid w:val="00E36632"/>
    <w:rsid w:val="00E367CE"/>
    <w:rsid w:val="00E96DB2"/>
    <w:rsid w:val="00EA371C"/>
    <w:rsid w:val="00EB1B12"/>
    <w:rsid w:val="00EB3728"/>
    <w:rsid w:val="00ED17C7"/>
    <w:rsid w:val="00EE0AC3"/>
    <w:rsid w:val="00EF3BCF"/>
    <w:rsid w:val="00F3736D"/>
    <w:rsid w:val="00F42430"/>
    <w:rsid w:val="00F70993"/>
    <w:rsid w:val="00F829C1"/>
    <w:rsid w:val="00FE3B10"/>
    <w:rsid w:val="00FF544A"/>
    <w:rsid w:val="00FF6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ED0FE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4057"/>
  </w:style>
  <w:style w:type="paragraph" w:styleId="Heading1">
    <w:name w:val="heading 1"/>
    <w:basedOn w:val="Normal"/>
    <w:next w:val="Normal"/>
    <w:link w:val="Heading1Char"/>
    <w:uiPriority w:val="9"/>
    <w:qFormat/>
    <w:rsid w:val="005F40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F40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F40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40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40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40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40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40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40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40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F40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F40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40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40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40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40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40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40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40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40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40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40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40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40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40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40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40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40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405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05EC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05EC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45CA2"/>
    <w:rPr>
      <w:color w:val="96607D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94E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4EF0"/>
  </w:style>
  <w:style w:type="paragraph" w:styleId="Footer">
    <w:name w:val="footer"/>
    <w:basedOn w:val="Normal"/>
    <w:link w:val="FooterChar"/>
    <w:uiPriority w:val="99"/>
    <w:unhideWhenUsed/>
    <w:rsid w:val="00494E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4E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reativecommons.org/share-your-work/cclicense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960</Words>
  <Characters>5476</Characters>
  <Application>Microsoft Office Word</Application>
  <DocSecurity>0</DocSecurity>
  <Lines>45</Lines>
  <Paragraphs>12</Paragraphs>
  <ScaleCrop>false</ScaleCrop>
  <Company/>
  <LinksUpToDate>false</LinksUpToDate>
  <CharactersWithSpaces>6424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2026-04-04T00:56:00Z</dcterms:created>
  <dcterms:modified xsi:type="dcterms:W3CDTF">2026-04-04T00:56:00Z</dcterms:modified>
</cp:coreProperties>
</file>